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42" w:rsidRPr="004E269C" w:rsidRDefault="00523E97" w:rsidP="004F0047">
      <w:pPr>
        <w:rPr>
          <w:b/>
          <w:sz w:val="28"/>
          <w:szCs w:val="28"/>
          <w:u w:val="single"/>
        </w:rPr>
      </w:pPr>
      <w:r w:rsidRPr="004E269C">
        <w:rPr>
          <w:b/>
          <w:sz w:val="28"/>
          <w:szCs w:val="28"/>
          <w:u w:val="single"/>
        </w:rPr>
        <w:t>P</w:t>
      </w:r>
      <w:r w:rsidR="00612D42" w:rsidRPr="004E269C">
        <w:rPr>
          <w:b/>
          <w:sz w:val="28"/>
          <w:szCs w:val="28"/>
          <w:u w:val="single"/>
        </w:rPr>
        <w:t>lán mobilit</w:t>
      </w:r>
    </w:p>
    <w:p w:rsidR="00FF02F8" w:rsidRDefault="00612D42" w:rsidP="004F0047">
      <w:pPr>
        <w:rPr>
          <w:b/>
        </w:rPr>
      </w:pPr>
      <w:r>
        <w:rPr>
          <w:b/>
        </w:rPr>
        <w:t>P</w:t>
      </w:r>
      <w:r w:rsidR="00523E97" w:rsidRPr="009248EC">
        <w:rPr>
          <w:b/>
        </w:rPr>
        <w:t>ro každou předpokládanou partnerskou instituci vyplňte samostatně</w:t>
      </w:r>
      <w:r>
        <w:rPr>
          <w:b/>
        </w:rPr>
        <w:t xml:space="preserve">! </w:t>
      </w:r>
      <w:r w:rsidR="00FF02F8" w:rsidRPr="00FF02F8">
        <w:t>Proškrtnuté buňky nejsou pro danou aktivitu relevantní, nevyplňujte.</w:t>
      </w:r>
    </w:p>
    <w:p w:rsidR="004F0047" w:rsidRDefault="00B801C9" w:rsidP="004F0047">
      <w:r>
        <w:t>Není podmínkou využití všech typů mobility ani reciprocita. Je možné plánovat jen jeden ty</w:t>
      </w:r>
      <w:r w:rsidR="004B48F0">
        <w:t>p mobility, případně pouze vysílání nebo pouze přijímání účastníků</w:t>
      </w:r>
      <w:r w:rsidR="00612D42">
        <w:t xml:space="preserve"> v dané kategorii. </w:t>
      </w:r>
      <w:r w:rsidR="004B48F0">
        <w:t>Je třeba toto vždy zdůvodnit.</w:t>
      </w:r>
      <w:r w:rsidR="00862E27">
        <w:t xml:space="preserve"> Další informace v pokynech níže.</w:t>
      </w:r>
    </w:p>
    <w:p w:rsidR="00095D52" w:rsidRPr="00095D52" w:rsidRDefault="00095D52" w:rsidP="00095D52">
      <w:pPr>
        <w:rPr>
          <w:b/>
        </w:rPr>
      </w:pPr>
      <w:bookmarkStart w:id="0" w:name="_GoBack"/>
      <w:r w:rsidRPr="00095D52">
        <w:rPr>
          <w:b/>
        </w:rPr>
        <w:t>Pozor! Do zemí regionů 6 (Asie), 7 (Střední Asie), 8 (Latinská Amerika), 10 (Jihoafrická republika) a 11 (Afrika, Karibik, Pacifik) je možné vysílat pouze studenty doktorského studia.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2127"/>
        <w:gridCol w:w="1559"/>
        <w:gridCol w:w="1559"/>
        <w:gridCol w:w="2268"/>
        <w:gridCol w:w="1985"/>
      </w:tblGrid>
      <w:tr w:rsidR="00612D42" w:rsidTr="00612D42">
        <w:tc>
          <w:tcPr>
            <w:tcW w:w="1101" w:type="dxa"/>
          </w:tcPr>
          <w:bookmarkEnd w:id="0"/>
          <w:p w:rsidR="00B801C9" w:rsidRDefault="00B801C9" w:rsidP="00B801C9">
            <w:r>
              <w:t>Typ mobility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</w:tcPr>
          <w:p w:rsidR="00B801C9" w:rsidRDefault="00FF02F8" w:rsidP="00B801C9">
            <w:r>
              <w:t>Studijní cyklus</w:t>
            </w:r>
            <w:r w:rsidR="00B801C9">
              <w:rPr>
                <w:rStyle w:val="Znakapoznpodarou"/>
              </w:rPr>
              <w:footnoteReference w:id="2"/>
            </w:r>
          </w:p>
        </w:tc>
        <w:tc>
          <w:tcPr>
            <w:tcW w:w="1984" w:type="dxa"/>
          </w:tcPr>
          <w:p w:rsidR="00B801C9" w:rsidRDefault="00612D42" w:rsidP="004F0047">
            <w:r>
              <w:t>V</w:t>
            </w:r>
            <w:r w:rsidR="00B801C9">
              <w:t>ysílající instituce</w:t>
            </w:r>
            <w:r>
              <w:t xml:space="preserve"> (název, sídlo)</w:t>
            </w:r>
          </w:p>
        </w:tc>
        <w:tc>
          <w:tcPr>
            <w:tcW w:w="2127" w:type="dxa"/>
          </w:tcPr>
          <w:p w:rsidR="00B801C9" w:rsidRDefault="00612D42" w:rsidP="004F0047">
            <w:r>
              <w:t>P</w:t>
            </w:r>
            <w:r w:rsidR="00B801C9">
              <w:t>řijímající instituce</w:t>
            </w:r>
            <w:r>
              <w:t xml:space="preserve"> (název, sídlo)</w:t>
            </w:r>
          </w:p>
        </w:tc>
        <w:tc>
          <w:tcPr>
            <w:tcW w:w="1559" w:type="dxa"/>
          </w:tcPr>
          <w:p w:rsidR="00B801C9" w:rsidRDefault="00B801C9" w:rsidP="004F0047">
            <w:r>
              <w:t>Celkový počet účastníků</w:t>
            </w:r>
          </w:p>
        </w:tc>
        <w:tc>
          <w:tcPr>
            <w:tcW w:w="1559" w:type="dxa"/>
          </w:tcPr>
          <w:p w:rsidR="00B801C9" w:rsidRDefault="00B801C9" w:rsidP="004F0047">
            <w:r>
              <w:t>Celkový počet měsíců (SMS)</w:t>
            </w:r>
            <w:r w:rsidR="006D3946">
              <w:rPr>
                <w:rStyle w:val="Znakapoznpodarou"/>
              </w:rPr>
              <w:footnoteReference w:id="3"/>
            </w:r>
          </w:p>
        </w:tc>
        <w:tc>
          <w:tcPr>
            <w:tcW w:w="2268" w:type="dxa"/>
          </w:tcPr>
          <w:p w:rsidR="00B801C9" w:rsidRDefault="00B801C9" w:rsidP="004F0047">
            <w:r>
              <w:t>Celkový počet dnů bez dnů cesty (STA, STT)</w:t>
            </w:r>
          </w:p>
        </w:tc>
        <w:tc>
          <w:tcPr>
            <w:tcW w:w="1985" w:type="dxa"/>
          </w:tcPr>
          <w:p w:rsidR="00B801C9" w:rsidRDefault="00B801C9" w:rsidP="004F0047">
            <w:r>
              <w:t>Celkový počet dnů cesty (STA, STT)</w:t>
            </w:r>
          </w:p>
        </w:tc>
      </w:tr>
      <w:tr w:rsidR="00612D42" w:rsidTr="00095D52">
        <w:trPr>
          <w:trHeight w:val="680"/>
        </w:trPr>
        <w:tc>
          <w:tcPr>
            <w:tcW w:w="1101" w:type="dxa"/>
          </w:tcPr>
          <w:p w:rsidR="00B801C9" w:rsidRDefault="00B801C9" w:rsidP="004E269C">
            <w:pPr>
              <w:jc w:val="center"/>
            </w:pPr>
            <w:r>
              <w:t>SMS</w:t>
            </w: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984" w:type="dxa"/>
          </w:tcPr>
          <w:p w:rsidR="00612D42" w:rsidRDefault="00612D42" w:rsidP="004E269C">
            <w:pPr>
              <w:jc w:val="center"/>
            </w:pPr>
            <w:r>
              <w:t xml:space="preserve">UP </w:t>
            </w:r>
            <w:r w:rsidR="004B48F0">
              <w:t>Olomouc</w:t>
            </w:r>
          </w:p>
        </w:tc>
        <w:tc>
          <w:tcPr>
            <w:tcW w:w="2127" w:type="dxa"/>
          </w:tcPr>
          <w:p w:rsidR="00612D42" w:rsidRDefault="00612D42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2268" w:type="dxa"/>
          </w:tcPr>
          <w:p w:rsidR="00B801C9" w:rsidRDefault="004E269C" w:rsidP="004E269C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B801C9" w:rsidRDefault="004E269C" w:rsidP="004E269C">
            <w:pPr>
              <w:jc w:val="center"/>
            </w:pPr>
            <w:r>
              <w:t>x</w:t>
            </w:r>
          </w:p>
        </w:tc>
      </w:tr>
      <w:tr w:rsidR="00612D42" w:rsidTr="00095D52">
        <w:trPr>
          <w:trHeight w:val="680"/>
        </w:trPr>
        <w:tc>
          <w:tcPr>
            <w:tcW w:w="1101" w:type="dxa"/>
          </w:tcPr>
          <w:p w:rsidR="00B801C9" w:rsidRDefault="00B801C9" w:rsidP="004E269C">
            <w:pPr>
              <w:jc w:val="center"/>
            </w:pPr>
            <w:r>
              <w:t>SMS</w:t>
            </w: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984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2127" w:type="dxa"/>
          </w:tcPr>
          <w:p w:rsidR="00B801C9" w:rsidRDefault="00612D42" w:rsidP="004E269C">
            <w:pPr>
              <w:jc w:val="center"/>
            </w:pPr>
            <w:r>
              <w:t xml:space="preserve">UP </w:t>
            </w:r>
            <w:r w:rsidR="004B48F0">
              <w:t>Olomouc</w:t>
            </w: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2268" w:type="dxa"/>
          </w:tcPr>
          <w:p w:rsidR="00B801C9" w:rsidRDefault="004E269C" w:rsidP="004E269C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B801C9" w:rsidRDefault="004E269C" w:rsidP="004E269C">
            <w:pPr>
              <w:jc w:val="center"/>
            </w:pPr>
            <w:r>
              <w:t>x</w:t>
            </w:r>
          </w:p>
        </w:tc>
      </w:tr>
      <w:tr w:rsidR="00612D42" w:rsidTr="00095D52">
        <w:trPr>
          <w:trHeight w:val="680"/>
        </w:trPr>
        <w:tc>
          <w:tcPr>
            <w:tcW w:w="1101" w:type="dxa"/>
          </w:tcPr>
          <w:p w:rsidR="00B801C9" w:rsidRDefault="00B801C9" w:rsidP="004E269C">
            <w:pPr>
              <w:jc w:val="center"/>
            </w:pPr>
            <w:r>
              <w:t>STA</w:t>
            </w:r>
          </w:p>
        </w:tc>
        <w:tc>
          <w:tcPr>
            <w:tcW w:w="1559" w:type="dxa"/>
          </w:tcPr>
          <w:p w:rsidR="00B801C9" w:rsidRDefault="004B48F0" w:rsidP="004E269C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801C9" w:rsidRDefault="00612D42" w:rsidP="004E269C">
            <w:pPr>
              <w:jc w:val="center"/>
            </w:pPr>
            <w:r>
              <w:t xml:space="preserve">UP </w:t>
            </w:r>
            <w:r w:rsidR="004B48F0">
              <w:t>Olomouc</w:t>
            </w:r>
          </w:p>
        </w:tc>
        <w:tc>
          <w:tcPr>
            <w:tcW w:w="2127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4E269C" w:rsidP="004E269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985" w:type="dxa"/>
          </w:tcPr>
          <w:p w:rsidR="00B801C9" w:rsidRDefault="00B801C9" w:rsidP="004E269C">
            <w:pPr>
              <w:jc w:val="center"/>
            </w:pPr>
          </w:p>
        </w:tc>
      </w:tr>
      <w:tr w:rsidR="00612D42" w:rsidTr="00095D52">
        <w:trPr>
          <w:trHeight w:val="680"/>
        </w:trPr>
        <w:tc>
          <w:tcPr>
            <w:tcW w:w="1101" w:type="dxa"/>
          </w:tcPr>
          <w:p w:rsidR="00B801C9" w:rsidRDefault="00B801C9" w:rsidP="004E269C">
            <w:pPr>
              <w:jc w:val="center"/>
            </w:pPr>
            <w:r>
              <w:t>STA</w:t>
            </w:r>
          </w:p>
        </w:tc>
        <w:tc>
          <w:tcPr>
            <w:tcW w:w="1559" w:type="dxa"/>
          </w:tcPr>
          <w:p w:rsidR="00B801C9" w:rsidRDefault="004B48F0" w:rsidP="004E269C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2127" w:type="dxa"/>
          </w:tcPr>
          <w:p w:rsidR="00B801C9" w:rsidRDefault="00612D42" w:rsidP="004E269C">
            <w:pPr>
              <w:jc w:val="center"/>
            </w:pPr>
            <w:r>
              <w:t xml:space="preserve">UP </w:t>
            </w:r>
            <w:r w:rsidR="004B48F0">
              <w:t>Olomouc</w:t>
            </w: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4E269C" w:rsidP="004E269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985" w:type="dxa"/>
          </w:tcPr>
          <w:p w:rsidR="00B801C9" w:rsidRDefault="00B801C9" w:rsidP="004E269C">
            <w:pPr>
              <w:jc w:val="center"/>
            </w:pPr>
          </w:p>
        </w:tc>
      </w:tr>
      <w:tr w:rsidR="00612D42" w:rsidTr="00095D52">
        <w:trPr>
          <w:trHeight w:val="680"/>
        </w:trPr>
        <w:tc>
          <w:tcPr>
            <w:tcW w:w="1101" w:type="dxa"/>
          </w:tcPr>
          <w:p w:rsidR="00B801C9" w:rsidRDefault="00B801C9" w:rsidP="004E269C">
            <w:pPr>
              <w:jc w:val="center"/>
            </w:pPr>
            <w:r>
              <w:t>STT</w:t>
            </w:r>
          </w:p>
        </w:tc>
        <w:tc>
          <w:tcPr>
            <w:tcW w:w="1559" w:type="dxa"/>
          </w:tcPr>
          <w:p w:rsidR="00B801C9" w:rsidRDefault="004B48F0" w:rsidP="004E269C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801C9" w:rsidRDefault="00612D42" w:rsidP="004E269C">
            <w:pPr>
              <w:jc w:val="center"/>
            </w:pPr>
            <w:r>
              <w:t xml:space="preserve">UP </w:t>
            </w:r>
            <w:r w:rsidR="004B48F0">
              <w:t>Olomouc</w:t>
            </w:r>
          </w:p>
        </w:tc>
        <w:tc>
          <w:tcPr>
            <w:tcW w:w="2127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4E269C" w:rsidP="004E269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985" w:type="dxa"/>
          </w:tcPr>
          <w:p w:rsidR="00B801C9" w:rsidRDefault="00B801C9" w:rsidP="004E269C">
            <w:pPr>
              <w:jc w:val="center"/>
            </w:pPr>
          </w:p>
        </w:tc>
      </w:tr>
      <w:tr w:rsidR="00612D42" w:rsidTr="00095D52">
        <w:trPr>
          <w:trHeight w:val="680"/>
        </w:trPr>
        <w:tc>
          <w:tcPr>
            <w:tcW w:w="1101" w:type="dxa"/>
          </w:tcPr>
          <w:p w:rsidR="00B801C9" w:rsidRDefault="00B801C9" w:rsidP="004E269C">
            <w:pPr>
              <w:jc w:val="center"/>
            </w:pPr>
            <w:r>
              <w:t>STT</w:t>
            </w:r>
          </w:p>
        </w:tc>
        <w:tc>
          <w:tcPr>
            <w:tcW w:w="1559" w:type="dxa"/>
          </w:tcPr>
          <w:p w:rsidR="00B801C9" w:rsidRDefault="004B48F0" w:rsidP="004E269C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2127" w:type="dxa"/>
          </w:tcPr>
          <w:p w:rsidR="00B801C9" w:rsidRDefault="00612D42" w:rsidP="004E269C">
            <w:pPr>
              <w:jc w:val="center"/>
            </w:pPr>
            <w:r>
              <w:t xml:space="preserve">UP </w:t>
            </w:r>
            <w:r w:rsidR="004B48F0">
              <w:t>Olomouc</w:t>
            </w:r>
          </w:p>
        </w:tc>
        <w:tc>
          <w:tcPr>
            <w:tcW w:w="1559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559" w:type="dxa"/>
          </w:tcPr>
          <w:p w:rsidR="00B801C9" w:rsidRDefault="004E269C" w:rsidP="004E269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801C9" w:rsidRDefault="00B801C9" w:rsidP="004E269C">
            <w:pPr>
              <w:jc w:val="center"/>
            </w:pPr>
          </w:p>
        </w:tc>
        <w:tc>
          <w:tcPr>
            <w:tcW w:w="1985" w:type="dxa"/>
          </w:tcPr>
          <w:p w:rsidR="00B801C9" w:rsidRDefault="00B801C9" w:rsidP="004E269C">
            <w:pPr>
              <w:jc w:val="center"/>
            </w:pPr>
          </w:p>
        </w:tc>
      </w:tr>
    </w:tbl>
    <w:p w:rsidR="00FF02F8" w:rsidRDefault="00FF02F8" w:rsidP="00862E27">
      <w:pPr>
        <w:pStyle w:val="Bezmezer"/>
        <w:rPr>
          <w:b/>
        </w:rPr>
      </w:pPr>
    </w:p>
    <w:p w:rsidR="00FF02F8" w:rsidRDefault="00FF02F8" w:rsidP="00862E27">
      <w:pPr>
        <w:pStyle w:val="Bezmezer"/>
        <w:rPr>
          <w:b/>
        </w:rPr>
      </w:pPr>
    </w:p>
    <w:p w:rsidR="004F0047" w:rsidRPr="004E269C" w:rsidRDefault="00FF02F8" w:rsidP="004F00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Popis</w:t>
      </w:r>
      <w:r w:rsidR="009248EC" w:rsidRPr="004E269C">
        <w:rPr>
          <w:b/>
          <w:sz w:val="28"/>
          <w:szCs w:val="28"/>
          <w:u w:val="single"/>
        </w:rPr>
        <w:t xml:space="preserve"> projektu:</w:t>
      </w:r>
    </w:p>
    <w:p w:rsidR="007F36DA" w:rsidRPr="007F36DA" w:rsidRDefault="007F36DA" w:rsidP="004F0047">
      <w:pPr>
        <w:rPr>
          <w:b/>
        </w:rPr>
      </w:pPr>
      <w:r w:rsidRPr="007F36DA">
        <w:rPr>
          <w:b/>
        </w:rPr>
        <w:t xml:space="preserve">Předkládejte v anglickém jazyce! </w:t>
      </w:r>
    </w:p>
    <w:p w:rsidR="009248EC" w:rsidRDefault="009248EC" w:rsidP="004F0047">
      <w:r>
        <w:t xml:space="preserve">V každé kategorii popište </w:t>
      </w:r>
      <w:r w:rsidR="00B0114D" w:rsidRPr="00B0114D">
        <w:rPr>
          <w:u w:val="single"/>
        </w:rPr>
        <w:t>samostatně</w:t>
      </w:r>
      <w:r w:rsidR="00B0114D">
        <w:t xml:space="preserve"> </w:t>
      </w:r>
      <w:r>
        <w:t>všechny plánované typy mobilit.</w:t>
      </w:r>
      <w:r w:rsidR="007F36DA">
        <w:t xml:space="preserve"> </w:t>
      </w:r>
    </w:p>
    <w:p w:rsidR="004F0047" w:rsidRDefault="004F0047" w:rsidP="004F00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Relevance strateg</w:t>
      </w:r>
      <w:r w:rsidR="00B801C9">
        <w:rPr>
          <w:b/>
          <w:bCs/>
          <w:sz w:val="22"/>
          <w:szCs w:val="22"/>
        </w:rPr>
        <w:t>ie</w:t>
      </w:r>
      <w:r>
        <w:rPr>
          <w:b/>
          <w:bCs/>
          <w:sz w:val="22"/>
          <w:szCs w:val="22"/>
        </w:rPr>
        <w:t xml:space="preserve"> </w:t>
      </w:r>
      <w:r w:rsidR="009248EC">
        <w:rPr>
          <w:b/>
          <w:bCs/>
          <w:sz w:val="22"/>
          <w:szCs w:val="22"/>
        </w:rPr>
        <w:t>(max. 2500 znaků)</w:t>
      </w:r>
    </w:p>
    <w:p w:rsidR="00B0114D" w:rsidRDefault="00B0114D" w:rsidP="004F0047">
      <w:pPr>
        <w:pStyle w:val="Default"/>
        <w:rPr>
          <w:sz w:val="22"/>
          <w:szCs w:val="22"/>
        </w:rPr>
      </w:pPr>
    </w:p>
    <w:p w:rsidR="003B34AE" w:rsidRDefault="00B801C9" w:rsidP="004F0047">
      <w:r>
        <w:t>Popište, jakým způsobem plánovaný projekt mobility přispívá k</w:t>
      </w:r>
      <w:r w:rsidR="004B48F0">
        <w:t xml:space="preserve"> </w:t>
      </w:r>
      <w:r>
        <w:t>rozvoji strategi</w:t>
      </w:r>
      <w:r w:rsidR="004B48F0">
        <w:t>e</w:t>
      </w:r>
      <w:r>
        <w:t xml:space="preserve"> internacionalizace UP i </w:t>
      </w:r>
      <w:r w:rsidRPr="00862E27">
        <w:rPr>
          <w:b/>
        </w:rPr>
        <w:t>partnerské instituce</w:t>
      </w:r>
      <w:r w:rsidR="00612D42">
        <w:rPr>
          <w:rStyle w:val="Znakapoznpodarou"/>
        </w:rPr>
        <w:footnoteReference w:id="4"/>
      </w:r>
      <w:r>
        <w:t xml:space="preserve">. </w:t>
      </w:r>
    </w:p>
    <w:p w:rsidR="004F0047" w:rsidRDefault="00B801C9" w:rsidP="004F0047">
      <w:r>
        <w:t xml:space="preserve">Odůvodněte </w:t>
      </w:r>
      <w:r w:rsidRPr="006B178E">
        <w:rPr>
          <w:u w:val="single"/>
        </w:rPr>
        <w:t>navrhované typy mobilit</w:t>
      </w:r>
      <w:r>
        <w:t xml:space="preserve"> (studijní pobyty, výukové pobyty, školení)</w:t>
      </w:r>
      <w:r w:rsidR="00862E27">
        <w:t xml:space="preserve"> a zvolený </w:t>
      </w:r>
      <w:r w:rsidR="00862E27" w:rsidRPr="006B178E">
        <w:rPr>
          <w:u w:val="single"/>
        </w:rPr>
        <w:t>cyklus studia</w:t>
      </w:r>
      <w:r w:rsidR="00862E27">
        <w:t xml:space="preserve"> u studentů (Bc., Mgr., Ph.D.)</w:t>
      </w:r>
      <w:r>
        <w:t xml:space="preserve">. </w:t>
      </w:r>
      <w:r w:rsidR="003B34AE">
        <w:t xml:space="preserve">Opět jak z pohledu UP, tak </w:t>
      </w:r>
      <w:r w:rsidR="003B34AE" w:rsidRPr="00B0114D">
        <w:rPr>
          <w:b/>
        </w:rPr>
        <w:t>partnerské instituce</w:t>
      </w:r>
      <w:r w:rsidR="003B34AE">
        <w:t>.</w:t>
      </w:r>
    </w:p>
    <w:p w:rsidR="00862E27" w:rsidRDefault="00862E27" w:rsidP="004F0047">
      <w:r>
        <w:t xml:space="preserve">Nutno popsat konkrétní návaznost na dlouhodobý záměr univerzity, zohlednit také vazbu na strategii internacionalizace </w:t>
      </w:r>
      <w:r w:rsidRPr="00FF02F8">
        <w:rPr>
          <w:b/>
        </w:rPr>
        <w:t>partnerské instituce</w:t>
      </w:r>
      <w:r>
        <w:t xml:space="preserve">. </w:t>
      </w:r>
    </w:p>
    <w:p w:rsidR="009248EC" w:rsidRDefault="009248EC" w:rsidP="004F0047">
      <w:pPr>
        <w:pStyle w:val="Default"/>
        <w:rPr>
          <w:b/>
          <w:bCs/>
          <w:sz w:val="22"/>
          <w:szCs w:val="22"/>
        </w:rPr>
      </w:pPr>
    </w:p>
    <w:p w:rsidR="004F0047" w:rsidRDefault="004B48F0" w:rsidP="004F00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Kvalita</w:t>
      </w:r>
      <w:r w:rsidR="004F224F">
        <w:rPr>
          <w:b/>
          <w:bCs/>
          <w:sz w:val="22"/>
          <w:szCs w:val="22"/>
        </w:rPr>
        <w:t xml:space="preserve"> zajištění realizace projektu</w:t>
      </w:r>
      <w:r w:rsidR="004F0047">
        <w:rPr>
          <w:b/>
          <w:bCs/>
          <w:sz w:val="22"/>
          <w:szCs w:val="22"/>
        </w:rPr>
        <w:t xml:space="preserve"> </w:t>
      </w:r>
      <w:r w:rsidR="009248EC">
        <w:rPr>
          <w:b/>
          <w:bCs/>
          <w:sz w:val="22"/>
          <w:szCs w:val="22"/>
        </w:rPr>
        <w:t>(max. 2500 znaků)</w:t>
      </w:r>
    </w:p>
    <w:p w:rsidR="00B0114D" w:rsidRDefault="00B0114D" w:rsidP="004F0047">
      <w:pPr>
        <w:pStyle w:val="Default"/>
        <w:rPr>
          <w:sz w:val="22"/>
          <w:szCs w:val="22"/>
        </w:rPr>
      </w:pPr>
    </w:p>
    <w:p w:rsidR="004F0047" w:rsidRDefault="004F0047" w:rsidP="004F0047">
      <w:r w:rsidRPr="004F0047">
        <w:t>Detail</w:t>
      </w:r>
      <w:r w:rsidR="004B48F0">
        <w:t xml:space="preserve">ně popište </w:t>
      </w:r>
      <w:r w:rsidR="004B48F0" w:rsidRPr="006B178E">
        <w:rPr>
          <w:u w:val="single"/>
        </w:rPr>
        <w:t>předchozí zkušenosti s obdobnými projekty spolupráce s danou partnerskou zemí/institucí</w:t>
      </w:r>
      <w:r w:rsidR="004B48F0">
        <w:t xml:space="preserve">. Popište, jakým způsobem budou v meziinstitucionální smlouvě definovány odpovědnosti, role a úkoly pro zajištění daného projektu mobilit. </w:t>
      </w:r>
      <w:r w:rsidRPr="004F0047">
        <w:t xml:space="preserve"> </w:t>
      </w:r>
    </w:p>
    <w:p w:rsidR="00672965" w:rsidRDefault="00672965" w:rsidP="004F0047">
      <w:r>
        <w:t xml:space="preserve">Nutno popsat </w:t>
      </w:r>
      <w:r w:rsidRPr="00FF02F8">
        <w:rPr>
          <w:b/>
        </w:rPr>
        <w:t>konkrétně</w:t>
      </w:r>
      <w:r>
        <w:t xml:space="preserve"> předchozí spolupráci, jak dlouho trvá, jak je formálně ošetřená (smlouva?). Dále je třeba popsat rozdělení odpovědností a rolí nejen na UP, ale i na straně </w:t>
      </w:r>
      <w:r w:rsidRPr="00FF02F8">
        <w:rPr>
          <w:b/>
        </w:rPr>
        <w:t>partnerské instituce</w:t>
      </w:r>
      <w:r>
        <w:t>.</w:t>
      </w:r>
    </w:p>
    <w:p w:rsidR="009248EC" w:rsidRDefault="009248EC" w:rsidP="004F0047">
      <w:pPr>
        <w:pStyle w:val="Default"/>
        <w:rPr>
          <w:b/>
          <w:bCs/>
          <w:sz w:val="22"/>
          <w:szCs w:val="22"/>
        </w:rPr>
      </w:pPr>
    </w:p>
    <w:p w:rsidR="004F0047" w:rsidRDefault="004F224F" w:rsidP="004F00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Kvalita </w:t>
      </w:r>
      <w:r w:rsidR="005306AE">
        <w:rPr>
          <w:b/>
          <w:bCs/>
          <w:sz w:val="22"/>
          <w:szCs w:val="22"/>
        </w:rPr>
        <w:t>zajištění</w:t>
      </w:r>
      <w:r>
        <w:rPr>
          <w:b/>
          <w:bCs/>
          <w:sz w:val="22"/>
          <w:szCs w:val="22"/>
        </w:rPr>
        <w:t xml:space="preserve"> a implementace projektu</w:t>
      </w:r>
      <w:r w:rsidR="004F0047">
        <w:rPr>
          <w:b/>
          <w:bCs/>
          <w:sz w:val="22"/>
          <w:szCs w:val="22"/>
        </w:rPr>
        <w:t xml:space="preserve"> </w:t>
      </w:r>
      <w:r w:rsidR="009248EC">
        <w:rPr>
          <w:b/>
          <w:bCs/>
          <w:sz w:val="22"/>
          <w:szCs w:val="22"/>
        </w:rPr>
        <w:t>(max. 2500 znaků)</w:t>
      </w:r>
    </w:p>
    <w:p w:rsidR="00B0114D" w:rsidRDefault="00B0114D" w:rsidP="004F0047">
      <w:pPr>
        <w:pStyle w:val="Default"/>
        <w:rPr>
          <w:b/>
          <w:bCs/>
          <w:sz w:val="22"/>
          <w:szCs w:val="22"/>
        </w:rPr>
      </w:pPr>
    </w:p>
    <w:p w:rsidR="004F0047" w:rsidRDefault="004F224F" w:rsidP="004F004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Popište jednotlivé fáze projektu a způsob zajištění výběru účastníků, jejich podpory a uznání mobility (na UP a zejména v partnerské zemi/instituci). </w:t>
      </w:r>
    </w:p>
    <w:p w:rsidR="00672965" w:rsidRDefault="00672965" w:rsidP="004F004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Nutno popsat zejména postup </w:t>
      </w:r>
      <w:r w:rsidRPr="00FF02F8">
        <w:rPr>
          <w:rFonts w:ascii="Calibri" w:hAnsi="Calibri" w:cs="Calibri"/>
          <w:b/>
          <w:color w:val="000000"/>
        </w:rPr>
        <w:t>výběru účastníků</w:t>
      </w:r>
      <w:r>
        <w:rPr>
          <w:rFonts w:ascii="Calibri" w:hAnsi="Calibri" w:cs="Calibri"/>
          <w:color w:val="000000"/>
        </w:rPr>
        <w:t xml:space="preserve"> (studentů i zaměstnanců) na UP i na </w:t>
      </w:r>
      <w:r w:rsidRPr="003B34AE">
        <w:rPr>
          <w:rFonts w:ascii="Calibri" w:hAnsi="Calibri" w:cs="Calibri"/>
          <w:b/>
          <w:color w:val="000000"/>
        </w:rPr>
        <w:t>partnerské instituci</w:t>
      </w:r>
      <w:r>
        <w:rPr>
          <w:rFonts w:ascii="Calibri" w:hAnsi="Calibri" w:cs="Calibri"/>
          <w:color w:val="000000"/>
        </w:rPr>
        <w:t xml:space="preserve">, dále pak </w:t>
      </w:r>
      <w:r w:rsidRPr="00FF02F8">
        <w:rPr>
          <w:rFonts w:ascii="Calibri" w:hAnsi="Calibri" w:cs="Calibri"/>
          <w:b/>
          <w:color w:val="000000"/>
        </w:rPr>
        <w:t>podporu</w:t>
      </w:r>
      <w:r>
        <w:rPr>
          <w:rFonts w:ascii="Calibri" w:hAnsi="Calibri" w:cs="Calibri"/>
          <w:color w:val="000000"/>
        </w:rPr>
        <w:t xml:space="preserve">, která bude účastníkům oběma institucemi (vysílající i přijímající) poskytována před mobilitou i v jejím průběhu a také </w:t>
      </w:r>
      <w:r w:rsidRPr="00FF02F8">
        <w:rPr>
          <w:rFonts w:ascii="Calibri" w:hAnsi="Calibri" w:cs="Calibri"/>
          <w:b/>
          <w:color w:val="000000"/>
        </w:rPr>
        <w:t xml:space="preserve">způsob </w:t>
      </w:r>
      <w:r w:rsidR="00FF02F8" w:rsidRPr="00FF02F8">
        <w:rPr>
          <w:rFonts w:ascii="Calibri" w:hAnsi="Calibri" w:cs="Calibri"/>
          <w:b/>
          <w:color w:val="000000"/>
        </w:rPr>
        <w:t>uznání</w:t>
      </w:r>
      <w:r>
        <w:rPr>
          <w:rFonts w:ascii="Calibri" w:hAnsi="Calibri" w:cs="Calibri"/>
          <w:color w:val="000000"/>
        </w:rPr>
        <w:t xml:space="preserve"> mobilit (pokud možno i u mobilit zaměstnanců). Opět je třeba popsat vše nejen za UP, ale i z pohledu </w:t>
      </w:r>
      <w:r w:rsidRPr="00FF02F8">
        <w:rPr>
          <w:rFonts w:ascii="Calibri" w:hAnsi="Calibri" w:cs="Calibri"/>
          <w:b/>
          <w:color w:val="000000"/>
        </w:rPr>
        <w:t>partnerské instituce</w:t>
      </w:r>
      <w:r>
        <w:rPr>
          <w:rFonts w:ascii="Calibri" w:hAnsi="Calibri" w:cs="Calibri"/>
          <w:color w:val="000000"/>
        </w:rPr>
        <w:t xml:space="preserve">. U popisu výběru účastníků je třeba zmínit jasná a konkrétní </w:t>
      </w:r>
      <w:r w:rsidRPr="00FF02F8">
        <w:rPr>
          <w:rFonts w:ascii="Calibri" w:hAnsi="Calibri" w:cs="Calibri"/>
          <w:b/>
          <w:color w:val="000000"/>
        </w:rPr>
        <w:t>kritéria výběru</w:t>
      </w:r>
      <w:r>
        <w:rPr>
          <w:rFonts w:ascii="Calibri" w:hAnsi="Calibri" w:cs="Calibri"/>
          <w:color w:val="000000"/>
        </w:rPr>
        <w:t>.</w:t>
      </w:r>
    </w:p>
    <w:p w:rsidR="009248EC" w:rsidRDefault="009248EC" w:rsidP="004F0047">
      <w:pPr>
        <w:pStyle w:val="Default"/>
        <w:rPr>
          <w:b/>
          <w:bCs/>
          <w:sz w:val="22"/>
          <w:szCs w:val="22"/>
        </w:rPr>
      </w:pPr>
    </w:p>
    <w:p w:rsidR="004F0047" w:rsidRDefault="004F0047" w:rsidP="004F00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Impa</w:t>
      </w:r>
      <w:r w:rsidR="004F224F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t a disemina</w:t>
      </w:r>
      <w:r w:rsidR="004F224F">
        <w:rPr>
          <w:b/>
          <w:bCs/>
          <w:sz w:val="22"/>
          <w:szCs w:val="22"/>
        </w:rPr>
        <w:t>ce</w:t>
      </w:r>
      <w:r>
        <w:rPr>
          <w:b/>
          <w:bCs/>
          <w:sz w:val="22"/>
          <w:szCs w:val="22"/>
        </w:rPr>
        <w:t xml:space="preserve"> </w:t>
      </w:r>
      <w:r w:rsidR="009248EC">
        <w:rPr>
          <w:b/>
          <w:bCs/>
          <w:sz w:val="22"/>
          <w:szCs w:val="22"/>
        </w:rPr>
        <w:t>(max. 2500 znaků)</w:t>
      </w:r>
    </w:p>
    <w:p w:rsidR="00B0114D" w:rsidRDefault="00B0114D" w:rsidP="004F0047">
      <w:pPr>
        <w:pStyle w:val="Default"/>
        <w:rPr>
          <w:sz w:val="22"/>
          <w:szCs w:val="22"/>
        </w:rPr>
      </w:pPr>
    </w:p>
    <w:p w:rsidR="00612D42" w:rsidRDefault="004F224F" w:rsidP="004F0047">
      <w:r>
        <w:t>Popište zamýšlený dopad projektu mobilit na účastníky,</w:t>
      </w:r>
      <w:r w:rsidR="005306AE">
        <w:t xml:space="preserve"> zapojené instituce a na místní, regionální a národní úrovni. Popište plánované prostředky diseminace výsledků na úrovni zapojených fakult a institucí, případně na vyšších úrovních, </w:t>
      </w:r>
      <w:r w:rsidR="009248EC">
        <w:t>jak v ČR, tak v partnerské zemi.</w:t>
      </w:r>
    </w:p>
    <w:p w:rsidR="003B34AE" w:rsidRDefault="00672965" w:rsidP="004F0047">
      <w:r>
        <w:t xml:space="preserve">Nutno popsat </w:t>
      </w:r>
      <w:r w:rsidRPr="00FF02F8">
        <w:rPr>
          <w:b/>
        </w:rPr>
        <w:t>dopad</w:t>
      </w:r>
      <w:r>
        <w:t xml:space="preserve"> mobilit na účastníky, UP i </w:t>
      </w:r>
      <w:r w:rsidRPr="00FF02F8">
        <w:rPr>
          <w:b/>
        </w:rPr>
        <w:t>partnerskou instituci</w:t>
      </w:r>
      <w:r>
        <w:t xml:space="preserve">, případně partnerskou zemi. </w:t>
      </w:r>
    </w:p>
    <w:p w:rsidR="00672965" w:rsidRDefault="00672965" w:rsidP="004F0047">
      <w:r>
        <w:t xml:space="preserve">Nutno uvést konkrétní </w:t>
      </w:r>
      <w:r w:rsidRPr="00FF02F8">
        <w:rPr>
          <w:b/>
        </w:rPr>
        <w:t>nástroje diseminace</w:t>
      </w:r>
      <w:r>
        <w:t xml:space="preserve"> výsledků na úrovni instituce, případně regionu, prostředky </w:t>
      </w:r>
      <w:r w:rsidRPr="00FF02F8">
        <w:rPr>
          <w:b/>
        </w:rPr>
        <w:t xml:space="preserve">hodnocení </w:t>
      </w:r>
      <w:r>
        <w:t>projektu, získávání zpětné vazby od účastníků.</w:t>
      </w:r>
    </w:p>
    <w:p w:rsidR="00D13AEB" w:rsidRDefault="00D13AEB" w:rsidP="004F0047"/>
    <w:p w:rsidR="00D13AEB" w:rsidRPr="00D13AEB" w:rsidRDefault="00D13AEB" w:rsidP="004F0047">
      <w:pPr>
        <w:rPr>
          <w:b/>
          <w:color w:val="FF0000"/>
        </w:rPr>
      </w:pPr>
      <w:r w:rsidRPr="00D13AEB">
        <w:rPr>
          <w:b/>
          <w:color w:val="FF0000"/>
        </w:rPr>
        <w:t>K přihlášce přiložte prohlášení (e-mail postačuje) partnerské instituce (statutárního zástupce, prorektora nebo zahraniční kanceláře), že souhlasí s</w:t>
      </w:r>
      <w:r w:rsidR="00B0114D">
        <w:rPr>
          <w:b/>
          <w:color w:val="FF0000"/>
        </w:rPr>
        <w:t xml:space="preserve"> principy programu ERASMUS+, </w:t>
      </w:r>
      <w:r w:rsidRPr="00D13AEB">
        <w:rPr>
          <w:b/>
          <w:color w:val="FF0000"/>
        </w:rPr>
        <w:t>podpisem meziinstitucionální smlouvy a navrhovaným plánem mobilit!</w:t>
      </w:r>
    </w:p>
    <w:p w:rsidR="00D13AEB" w:rsidRPr="006B178E" w:rsidRDefault="006B178E">
      <w:pPr>
        <w:rPr>
          <w:b/>
        </w:rPr>
      </w:pPr>
      <w:r w:rsidRPr="006B178E">
        <w:rPr>
          <w:b/>
        </w:rPr>
        <w:t>Vzor prohlášení:</w:t>
      </w:r>
    </w:p>
    <w:p w:rsidR="006B178E" w:rsidRPr="005D3044" w:rsidRDefault="006B178E" w:rsidP="006B178E">
      <w:pPr>
        <w:rPr>
          <w:b/>
          <w:sz w:val="28"/>
          <w:szCs w:val="28"/>
          <w:u w:val="single"/>
        </w:rPr>
      </w:pPr>
      <w:proofErr w:type="spellStart"/>
      <w:r w:rsidRPr="005D3044">
        <w:rPr>
          <w:b/>
          <w:sz w:val="28"/>
          <w:szCs w:val="28"/>
          <w:u w:val="single"/>
        </w:rPr>
        <w:t>Letter</w:t>
      </w:r>
      <w:proofErr w:type="spellEnd"/>
      <w:r w:rsidRPr="005D3044">
        <w:rPr>
          <w:b/>
          <w:sz w:val="28"/>
          <w:szCs w:val="28"/>
          <w:u w:val="single"/>
        </w:rPr>
        <w:t xml:space="preserve"> </w:t>
      </w:r>
      <w:proofErr w:type="spellStart"/>
      <w:r w:rsidRPr="005D3044">
        <w:rPr>
          <w:b/>
          <w:sz w:val="28"/>
          <w:szCs w:val="28"/>
          <w:u w:val="single"/>
        </w:rPr>
        <w:t>of</w:t>
      </w:r>
      <w:proofErr w:type="spellEnd"/>
      <w:r w:rsidRPr="005D3044">
        <w:rPr>
          <w:b/>
          <w:sz w:val="28"/>
          <w:szCs w:val="28"/>
          <w:u w:val="single"/>
        </w:rPr>
        <w:t xml:space="preserve"> </w:t>
      </w:r>
      <w:proofErr w:type="spellStart"/>
      <w:r w:rsidRPr="005D3044">
        <w:rPr>
          <w:b/>
          <w:sz w:val="28"/>
          <w:szCs w:val="28"/>
          <w:u w:val="single"/>
        </w:rPr>
        <w:t>Intent</w:t>
      </w:r>
      <w:proofErr w:type="spellEnd"/>
    </w:p>
    <w:p w:rsidR="006B178E" w:rsidRDefault="006B178E" w:rsidP="006B178E">
      <w:r>
        <w:t xml:space="preserve">I, </w:t>
      </w:r>
      <w:r w:rsidRPr="005D3044">
        <w:rPr>
          <w:b/>
        </w:rPr>
        <w:t>(</w:t>
      </w:r>
      <w:proofErr w:type="spellStart"/>
      <w:r w:rsidRPr="005D3044">
        <w:rPr>
          <w:b/>
        </w:rPr>
        <w:t>name</w:t>
      </w:r>
      <w:proofErr w:type="spellEnd"/>
      <w:r w:rsidRPr="005D3044">
        <w:rPr>
          <w:b/>
        </w:rPr>
        <w:t>)</w:t>
      </w:r>
      <w:r>
        <w:t xml:space="preserve">, </w:t>
      </w:r>
      <w:proofErr w:type="spellStart"/>
      <w:r>
        <w:t>representing</w:t>
      </w:r>
      <w:proofErr w:type="spellEnd"/>
      <w:r>
        <w:t xml:space="preserve"> </w:t>
      </w:r>
      <w:r w:rsidRPr="005D3044">
        <w:rPr>
          <w:b/>
        </w:rPr>
        <w:t>(</w:t>
      </w:r>
      <w:proofErr w:type="spellStart"/>
      <w:r w:rsidRPr="005D3044">
        <w:rPr>
          <w:b/>
        </w:rPr>
        <w:t>name</w:t>
      </w:r>
      <w:proofErr w:type="spellEnd"/>
      <w:r w:rsidRPr="005D3044">
        <w:rPr>
          <w:b/>
        </w:rPr>
        <w:t xml:space="preserve"> </w:t>
      </w:r>
      <w:proofErr w:type="spellStart"/>
      <w:r w:rsidRPr="005D3044">
        <w:rPr>
          <w:b/>
        </w:rPr>
        <w:t>of</w:t>
      </w:r>
      <w:proofErr w:type="spellEnd"/>
      <w:r w:rsidRPr="005D3044">
        <w:rPr>
          <w:b/>
        </w:rPr>
        <w:t xml:space="preserve"> </w:t>
      </w:r>
      <w:proofErr w:type="spellStart"/>
      <w:r w:rsidRPr="005D3044">
        <w:rPr>
          <w:b/>
        </w:rPr>
        <w:t>the</w:t>
      </w:r>
      <w:proofErr w:type="spellEnd"/>
      <w:r w:rsidRPr="005D3044">
        <w:rPr>
          <w:b/>
        </w:rPr>
        <w:t xml:space="preserve"> </w:t>
      </w:r>
      <w:proofErr w:type="spellStart"/>
      <w:r w:rsidRPr="005D3044">
        <w:rPr>
          <w:b/>
        </w:rPr>
        <w:t>institution</w:t>
      </w:r>
      <w:proofErr w:type="spellEnd"/>
      <w:r w:rsidRPr="005D3044">
        <w:rPr>
          <w:b/>
        </w:rPr>
        <w:t>)</w:t>
      </w:r>
      <w:r>
        <w:t xml:space="preserve">,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my</w:t>
      </w:r>
      <w:proofErr w:type="gramEnd"/>
      <w:r>
        <w:t xml:space="preserve"> </w:t>
      </w:r>
      <w:proofErr w:type="spellStart"/>
      <w:r>
        <w:t>institution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ERASMUS+ International </w:t>
      </w:r>
      <w:proofErr w:type="spellStart"/>
      <w:r>
        <w:t>Credit</w:t>
      </w:r>
      <w:proofErr w:type="spellEnd"/>
      <w:r>
        <w:t xml:space="preserve"> Mobility </w:t>
      </w:r>
      <w:proofErr w:type="spellStart"/>
      <w:r>
        <w:t>with</w:t>
      </w:r>
      <w:proofErr w:type="spellEnd"/>
      <w:r>
        <w:t xml:space="preserve"> Palacký University Olomouc.</w:t>
      </w:r>
    </w:p>
    <w:p w:rsidR="006B178E" w:rsidRDefault="006B178E" w:rsidP="006B178E">
      <w:r>
        <w:t xml:space="preserve">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my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will</w:t>
      </w:r>
      <w:proofErr w:type="spellEnd"/>
    </w:p>
    <w:p w:rsidR="006B178E" w:rsidRDefault="006B178E" w:rsidP="006B178E">
      <w:pPr>
        <w:pStyle w:val="Odstavecseseznamem"/>
        <w:numPr>
          <w:ilvl w:val="0"/>
          <w:numId w:val="3"/>
        </w:numPr>
      </w:pPr>
      <w:proofErr w:type="spellStart"/>
      <w:r>
        <w:t>agree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mainly</w:t>
      </w:r>
      <w:proofErr w:type="spellEnd"/>
      <w:r>
        <w:t>:</w:t>
      </w:r>
    </w:p>
    <w:p w:rsidR="006B178E" w:rsidRPr="00072B4E" w:rsidRDefault="006B178E" w:rsidP="006B178E">
      <w:pPr>
        <w:widowControl w:val="0"/>
        <w:numPr>
          <w:ilvl w:val="1"/>
          <w:numId w:val="3"/>
        </w:numPr>
        <w:tabs>
          <w:tab w:val="num" w:pos="1800"/>
        </w:tabs>
        <w:suppressAutoHyphens/>
        <w:spacing w:after="120" w:line="240" w:lineRule="auto"/>
      </w:pPr>
      <w:proofErr w:type="spellStart"/>
      <w:r w:rsidRPr="00072B4E">
        <w:t>Respect</w:t>
      </w:r>
      <w:proofErr w:type="spellEnd"/>
      <w:r w:rsidRPr="00072B4E">
        <w:t xml:space="preserve"> in full </w:t>
      </w:r>
      <w:proofErr w:type="spellStart"/>
      <w:r w:rsidRPr="00072B4E">
        <w:t>the</w:t>
      </w:r>
      <w:proofErr w:type="spellEnd"/>
      <w:r w:rsidRPr="00072B4E">
        <w:t xml:space="preserve"> </w:t>
      </w:r>
      <w:proofErr w:type="spellStart"/>
      <w:r w:rsidRPr="00072B4E">
        <w:t>principles</w:t>
      </w:r>
      <w:proofErr w:type="spellEnd"/>
      <w:r w:rsidRPr="00072B4E">
        <w:t xml:space="preserve"> </w:t>
      </w:r>
      <w:proofErr w:type="spellStart"/>
      <w:r w:rsidRPr="00072B4E">
        <w:t>of</w:t>
      </w:r>
      <w:proofErr w:type="spellEnd"/>
      <w:r w:rsidRPr="00072B4E">
        <w:t xml:space="preserve"> non-</w:t>
      </w:r>
      <w:proofErr w:type="spellStart"/>
      <w:r w:rsidRPr="00072B4E">
        <w:t>discrimination</w:t>
      </w:r>
      <w:proofErr w:type="spellEnd"/>
      <w:r w:rsidRPr="00072B4E">
        <w:t xml:space="preserve"> and to </w:t>
      </w:r>
      <w:proofErr w:type="spellStart"/>
      <w:r w:rsidRPr="00072B4E">
        <w:t>promote</w:t>
      </w:r>
      <w:proofErr w:type="spellEnd"/>
      <w:r w:rsidRPr="00072B4E">
        <w:t xml:space="preserve"> and </w:t>
      </w:r>
      <w:proofErr w:type="spellStart"/>
      <w:r w:rsidRPr="00072B4E">
        <w:t>ensure</w:t>
      </w:r>
      <w:proofErr w:type="spellEnd"/>
      <w:r w:rsidRPr="00072B4E">
        <w:t xml:space="preserve"> </w:t>
      </w:r>
      <w:proofErr w:type="spellStart"/>
      <w:r w:rsidRPr="00072B4E">
        <w:t>equal</w:t>
      </w:r>
      <w:proofErr w:type="spellEnd"/>
      <w:r w:rsidRPr="00072B4E">
        <w:t xml:space="preserve"> </w:t>
      </w:r>
      <w:proofErr w:type="spellStart"/>
      <w:r w:rsidRPr="00072B4E">
        <w:t>access</w:t>
      </w:r>
      <w:proofErr w:type="spellEnd"/>
      <w:r w:rsidRPr="00072B4E">
        <w:t xml:space="preserve"> and </w:t>
      </w:r>
      <w:proofErr w:type="spellStart"/>
      <w:r w:rsidRPr="00072B4E">
        <w:t>opportunities</w:t>
      </w:r>
      <w:proofErr w:type="spellEnd"/>
      <w:r w:rsidRPr="00072B4E">
        <w:t xml:space="preserve"> to mobile </w:t>
      </w:r>
      <w:proofErr w:type="spellStart"/>
      <w:r w:rsidRPr="00072B4E">
        <w:t>participants</w:t>
      </w:r>
      <w:proofErr w:type="spellEnd"/>
      <w:r w:rsidRPr="00072B4E">
        <w:t xml:space="preserve"> </w:t>
      </w:r>
      <w:proofErr w:type="spellStart"/>
      <w:r w:rsidRPr="00072B4E">
        <w:t>from</w:t>
      </w:r>
      <w:proofErr w:type="spellEnd"/>
      <w:r w:rsidRPr="00072B4E">
        <w:t xml:space="preserve"> </w:t>
      </w:r>
      <w:proofErr w:type="spellStart"/>
      <w:r w:rsidRPr="00072B4E">
        <w:t>all</w:t>
      </w:r>
      <w:proofErr w:type="spellEnd"/>
      <w:r w:rsidRPr="00072B4E">
        <w:t xml:space="preserve"> </w:t>
      </w:r>
      <w:proofErr w:type="spellStart"/>
      <w:r w:rsidRPr="00072B4E">
        <w:t>backgrounds</w:t>
      </w:r>
      <w:proofErr w:type="spellEnd"/>
      <w:r w:rsidRPr="00072B4E">
        <w:t xml:space="preserve">, in </w:t>
      </w:r>
      <w:proofErr w:type="spellStart"/>
      <w:r w:rsidRPr="00072B4E">
        <w:t>particular</w:t>
      </w:r>
      <w:proofErr w:type="spellEnd"/>
      <w:r w:rsidRPr="00072B4E">
        <w:t xml:space="preserve"> </w:t>
      </w:r>
      <w:proofErr w:type="spellStart"/>
      <w:r w:rsidRPr="00072B4E">
        <w:t>disadvantaged</w:t>
      </w:r>
      <w:proofErr w:type="spellEnd"/>
      <w:r w:rsidRPr="00072B4E">
        <w:t xml:space="preserve"> </w:t>
      </w:r>
      <w:proofErr w:type="spellStart"/>
      <w:r w:rsidRPr="00072B4E">
        <w:t>or</w:t>
      </w:r>
      <w:proofErr w:type="spellEnd"/>
      <w:r w:rsidRPr="00072B4E">
        <w:t xml:space="preserve"> </w:t>
      </w:r>
      <w:proofErr w:type="spellStart"/>
      <w:r w:rsidRPr="00072B4E">
        <w:t>vulnerable</w:t>
      </w:r>
      <w:proofErr w:type="spellEnd"/>
      <w:r w:rsidRPr="00072B4E">
        <w:t xml:space="preserve"> </w:t>
      </w:r>
      <w:proofErr w:type="spellStart"/>
      <w:r w:rsidRPr="00072B4E">
        <w:t>groups</w:t>
      </w:r>
      <w:proofErr w:type="spellEnd"/>
      <w:r w:rsidRPr="00072B4E">
        <w:t>.</w:t>
      </w:r>
    </w:p>
    <w:p w:rsidR="006B178E" w:rsidRPr="00072B4E" w:rsidRDefault="006B178E" w:rsidP="006B178E">
      <w:pPr>
        <w:pStyle w:val="Odstavecseseznamem"/>
        <w:widowControl w:val="0"/>
        <w:numPr>
          <w:ilvl w:val="1"/>
          <w:numId w:val="3"/>
        </w:numPr>
        <w:tabs>
          <w:tab w:val="num" w:pos="1800"/>
        </w:tabs>
        <w:suppressAutoHyphens/>
        <w:spacing w:after="120" w:line="240" w:lineRule="auto"/>
        <w:contextualSpacing w:val="0"/>
      </w:pPr>
      <w:proofErr w:type="spellStart"/>
      <w:r w:rsidRPr="00072B4E">
        <w:lastRenderedPageBreak/>
        <w:t>Apply</w:t>
      </w:r>
      <w:proofErr w:type="spellEnd"/>
      <w:r w:rsidRPr="00072B4E">
        <w:t xml:space="preserve"> a </w:t>
      </w:r>
      <w:proofErr w:type="spellStart"/>
      <w:r w:rsidRPr="00072B4E">
        <w:t>selection</w:t>
      </w:r>
      <w:proofErr w:type="spellEnd"/>
      <w:r w:rsidRPr="00072B4E">
        <w:t xml:space="preserve"> </w:t>
      </w:r>
      <w:proofErr w:type="spellStart"/>
      <w:r w:rsidRPr="00072B4E">
        <w:t>process</w:t>
      </w:r>
      <w:proofErr w:type="spellEnd"/>
      <w:r w:rsidRPr="00072B4E">
        <w:t xml:space="preserve"> </w:t>
      </w:r>
      <w:proofErr w:type="spellStart"/>
      <w:r w:rsidRPr="00072B4E">
        <w:t>that</w:t>
      </w:r>
      <w:proofErr w:type="spellEnd"/>
      <w:r w:rsidRPr="00072B4E">
        <w:t xml:space="preserve"> </w:t>
      </w:r>
      <w:proofErr w:type="spellStart"/>
      <w:r w:rsidRPr="00072B4E">
        <w:t>is</w:t>
      </w:r>
      <w:proofErr w:type="spellEnd"/>
      <w:r w:rsidRPr="00072B4E">
        <w:t xml:space="preserve"> fair, transparent and </w:t>
      </w:r>
      <w:proofErr w:type="spellStart"/>
      <w:r w:rsidRPr="00072B4E">
        <w:t>documented</w:t>
      </w:r>
      <w:proofErr w:type="spellEnd"/>
      <w:r w:rsidRPr="00072B4E">
        <w:t xml:space="preserve">, </w:t>
      </w:r>
      <w:proofErr w:type="spellStart"/>
      <w:r w:rsidRPr="00072B4E">
        <w:t>ensuring</w:t>
      </w:r>
      <w:proofErr w:type="spellEnd"/>
      <w:r w:rsidRPr="00072B4E">
        <w:t xml:space="preserve"> </w:t>
      </w:r>
      <w:proofErr w:type="spellStart"/>
      <w:r w:rsidRPr="00072B4E">
        <w:t>equal</w:t>
      </w:r>
      <w:proofErr w:type="spellEnd"/>
      <w:r w:rsidRPr="00072B4E">
        <w:t xml:space="preserve"> </w:t>
      </w:r>
      <w:proofErr w:type="spellStart"/>
      <w:r w:rsidRPr="00072B4E">
        <w:t>opportunities</w:t>
      </w:r>
      <w:proofErr w:type="spellEnd"/>
      <w:r w:rsidRPr="00072B4E">
        <w:t xml:space="preserve"> to </w:t>
      </w:r>
      <w:proofErr w:type="spellStart"/>
      <w:r w:rsidRPr="00072B4E">
        <w:t>participants</w:t>
      </w:r>
      <w:proofErr w:type="spellEnd"/>
      <w:r w:rsidRPr="00072B4E">
        <w:t xml:space="preserve"> </w:t>
      </w:r>
      <w:proofErr w:type="spellStart"/>
      <w:r w:rsidRPr="00072B4E">
        <w:t>eligible</w:t>
      </w:r>
      <w:proofErr w:type="spellEnd"/>
      <w:r w:rsidRPr="00072B4E">
        <w:t xml:space="preserve"> </w:t>
      </w:r>
      <w:proofErr w:type="spellStart"/>
      <w:r w:rsidRPr="00072B4E">
        <w:t>for</w:t>
      </w:r>
      <w:proofErr w:type="spellEnd"/>
      <w:r w:rsidRPr="00072B4E">
        <w:t xml:space="preserve"> mobility.</w:t>
      </w:r>
    </w:p>
    <w:p w:rsidR="006B178E" w:rsidRPr="00072B4E" w:rsidRDefault="006B178E" w:rsidP="006B178E">
      <w:pPr>
        <w:widowControl w:val="0"/>
        <w:numPr>
          <w:ilvl w:val="1"/>
          <w:numId w:val="3"/>
        </w:numPr>
        <w:tabs>
          <w:tab w:val="num" w:pos="1800"/>
        </w:tabs>
        <w:suppressAutoHyphens/>
        <w:spacing w:after="120" w:line="240" w:lineRule="auto"/>
      </w:pPr>
      <w:proofErr w:type="spellStart"/>
      <w:r w:rsidRPr="00072B4E">
        <w:t>Ensure</w:t>
      </w:r>
      <w:proofErr w:type="spellEnd"/>
      <w:r w:rsidRPr="00072B4E">
        <w:t xml:space="preserve"> </w:t>
      </w:r>
      <w:proofErr w:type="spellStart"/>
      <w:r w:rsidRPr="00072B4E">
        <w:t>recognition</w:t>
      </w:r>
      <w:proofErr w:type="spellEnd"/>
      <w:r w:rsidRPr="00072B4E">
        <w:t xml:space="preserve"> </w:t>
      </w:r>
      <w:proofErr w:type="spellStart"/>
      <w:r w:rsidRPr="00072B4E">
        <w:t>for</w:t>
      </w:r>
      <w:proofErr w:type="spellEnd"/>
      <w:r w:rsidRPr="00072B4E">
        <w:t xml:space="preserve"> </w:t>
      </w:r>
      <w:proofErr w:type="spellStart"/>
      <w:r w:rsidRPr="00072B4E">
        <w:t>satisfactorily</w:t>
      </w:r>
      <w:proofErr w:type="spellEnd"/>
      <w:r w:rsidRPr="00072B4E">
        <w:t xml:space="preserve"> </w:t>
      </w:r>
      <w:proofErr w:type="spellStart"/>
      <w:r w:rsidRPr="00072B4E">
        <w:t>completed</w:t>
      </w:r>
      <w:proofErr w:type="spellEnd"/>
      <w:r w:rsidRPr="00072B4E">
        <w:t xml:space="preserve"> </w:t>
      </w:r>
      <w:proofErr w:type="spellStart"/>
      <w:r w:rsidRPr="00072B4E">
        <w:t>activities</w:t>
      </w:r>
      <w:proofErr w:type="spellEnd"/>
      <w:r w:rsidRPr="00072B4E">
        <w:t xml:space="preserve"> </w:t>
      </w:r>
      <w:proofErr w:type="spellStart"/>
      <w:r w:rsidRPr="00072B4E">
        <w:t>of</w:t>
      </w:r>
      <w:proofErr w:type="spellEnd"/>
      <w:r w:rsidRPr="00072B4E">
        <w:t xml:space="preserve"> study mobility </w:t>
      </w:r>
      <w:proofErr w:type="spellStart"/>
      <w:r w:rsidRPr="00072B4E">
        <w:t>of</w:t>
      </w:r>
      <w:proofErr w:type="spellEnd"/>
      <w:r w:rsidRPr="00072B4E">
        <w:t xml:space="preserve"> </w:t>
      </w:r>
      <w:proofErr w:type="spellStart"/>
      <w:r w:rsidRPr="00072B4E">
        <w:t>its</w:t>
      </w:r>
      <w:proofErr w:type="spellEnd"/>
      <w:r w:rsidRPr="00072B4E">
        <w:t xml:space="preserve"> mobile </w:t>
      </w:r>
      <w:proofErr w:type="spellStart"/>
      <w:r w:rsidRPr="00072B4E">
        <w:t>students</w:t>
      </w:r>
      <w:proofErr w:type="spellEnd"/>
      <w:r w:rsidRPr="00072B4E">
        <w:t>.</w:t>
      </w:r>
    </w:p>
    <w:p w:rsidR="006B178E" w:rsidRDefault="006B178E" w:rsidP="006B178E">
      <w:pPr>
        <w:pStyle w:val="Odstavecseseznamem"/>
        <w:widowControl w:val="0"/>
        <w:numPr>
          <w:ilvl w:val="1"/>
          <w:numId w:val="3"/>
        </w:numPr>
        <w:tabs>
          <w:tab w:val="num" w:pos="1800"/>
        </w:tabs>
        <w:suppressAutoHyphens/>
        <w:spacing w:after="240" w:line="240" w:lineRule="auto"/>
        <w:contextualSpacing w:val="0"/>
      </w:pPr>
      <w:proofErr w:type="spellStart"/>
      <w:r w:rsidRPr="00072B4E">
        <w:t>Charge</w:t>
      </w:r>
      <w:proofErr w:type="spellEnd"/>
      <w:r w:rsidRPr="00072B4E">
        <w:t xml:space="preserve"> no </w:t>
      </w:r>
      <w:proofErr w:type="spellStart"/>
      <w:r w:rsidRPr="00072B4E">
        <w:t>fees</w:t>
      </w:r>
      <w:proofErr w:type="spellEnd"/>
      <w:r w:rsidRPr="00072B4E">
        <w:t xml:space="preserve"> to incoming </w:t>
      </w:r>
      <w:proofErr w:type="spellStart"/>
      <w:r w:rsidRPr="00072B4E">
        <w:t>students</w:t>
      </w:r>
      <w:proofErr w:type="spellEnd"/>
      <w:r w:rsidRPr="00072B4E">
        <w:t xml:space="preserve"> </w:t>
      </w:r>
      <w:proofErr w:type="spellStart"/>
      <w:r w:rsidRPr="00072B4E">
        <w:t>for</w:t>
      </w:r>
      <w:proofErr w:type="spellEnd"/>
      <w:r w:rsidRPr="00072B4E">
        <w:t xml:space="preserve"> </w:t>
      </w:r>
      <w:proofErr w:type="spellStart"/>
      <w:r w:rsidRPr="00072B4E">
        <w:t>tuition</w:t>
      </w:r>
      <w:proofErr w:type="spellEnd"/>
      <w:r w:rsidRPr="00072B4E">
        <w:t xml:space="preserve">, </w:t>
      </w:r>
      <w:proofErr w:type="spellStart"/>
      <w:r w:rsidRPr="00072B4E">
        <w:t>registration</w:t>
      </w:r>
      <w:proofErr w:type="spellEnd"/>
      <w:r w:rsidRPr="00072B4E">
        <w:t xml:space="preserve">, </w:t>
      </w:r>
      <w:proofErr w:type="spellStart"/>
      <w:r w:rsidRPr="00072B4E">
        <w:t>examinations</w:t>
      </w:r>
      <w:proofErr w:type="spellEnd"/>
      <w:r w:rsidRPr="00072B4E">
        <w:t xml:space="preserve"> </w:t>
      </w:r>
      <w:proofErr w:type="spellStart"/>
      <w:r w:rsidRPr="00072B4E">
        <w:t>or</w:t>
      </w:r>
      <w:proofErr w:type="spellEnd"/>
      <w:r w:rsidRPr="00072B4E">
        <w:t xml:space="preserve"> </w:t>
      </w:r>
      <w:proofErr w:type="spellStart"/>
      <w:r w:rsidRPr="00072B4E">
        <w:t>access</w:t>
      </w:r>
      <w:proofErr w:type="spellEnd"/>
      <w:r w:rsidRPr="00072B4E">
        <w:t xml:space="preserve"> to </w:t>
      </w:r>
      <w:proofErr w:type="spellStart"/>
      <w:r w:rsidRPr="00072B4E">
        <w:t>laboratory</w:t>
      </w:r>
      <w:proofErr w:type="spellEnd"/>
      <w:r w:rsidRPr="00072B4E">
        <w:t xml:space="preserve"> and </w:t>
      </w:r>
      <w:proofErr w:type="spellStart"/>
      <w:r w:rsidRPr="00072B4E">
        <w:t>library</w:t>
      </w:r>
      <w:proofErr w:type="spellEnd"/>
      <w:r w:rsidRPr="00072B4E">
        <w:t xml:space="preserve"> </w:t>
      </w:r>
      <w:proofErr w:type="spellStart"/>
      <w:r w:rsidRPr="00072B4E">
        <w:t>facilities</w:t>
      </w:r>
      <w:proofErr w:type="spellEnd"/>
      <w:r w:rsidRPr="00072B4E">
        <w:t xml:space="preserve">. </w:t>
      </w:r>
      <w:proofErr w:type="spellStart"/>
      <w:r w:rsidRPr="00072B4E">
        <w:t>Nevertheless</w:t>
      </w:r>
      <w:proofErr w:type="spellEnd"/>
      <w:r w:rsidRPr="00072B4E">
        <w:t xml:space="preserve">, </w:t>
      </w:r>
      <w:proofErr w:type="spellStart"/>
      <w:r w:rsidRPr="00072B4E">
        <w:t>they</w:t>
      </w:r>
      <w:proofErr w:type="spellEnd"/>
      <w:r w:rsidRPr="00072B4E">
        <w:t xml:space="preserve"> </w:t>
      </w:r>
      <w:proofErr w:type="spellStart"/>
      <w:r w:rsidRPr="00072B4E">
        <w:t>may</w:t>
      </w:r>
      <w:proofErr w:type="spellEnd"/>
      <w:r w:rsidRPr="00072B4E">
        <w:t xml:space="preserve"> </w:t>
      </w:r>
      <w:proofErr w:type="spellStart"/>
      <w:r w:rsidRPr="00072B4E">
        <w:t>be</w:t>
      </w:r>
      <w:proofErr w:type="spellEnd"/>
      <w:r w:rsidRPr="00072B4E">
        <w:t xml:space="preserve"> </w:t>
      </w:r>
      <w:proofErr w:type="spellStart"/>
      <w:r w:rsidRPr="00072B4E">
        <w:t>charged</w:t>
      </w:r>
      <w:proofErr w:type="spellEnd"/>
      <w:r w:rsidRPr="00072B4E">
        <w:t xml:space="preserve"> </w:t>
      </w:r>
      <w:proofErr w:type="spellStart"/>
      <w:r w:rsidRPr="00072B4E">
        <w:t>small</w:t>
      </w:r>
      <w:proofErr w:type="spellEnd"/>
      <w:r w:rsidRPr="00072B4E">
        <w:t xml:space="preserve"> </w:t>
      </w:r>
      <w:proofErr w:type="spellStart"/>
      <w:r w:rsidRPr="00072B4E">
        <w:t>fees</w:t>
      </w:r>
      <w:proofErr w:type="spellEnd"/>
      <w:r w:rsidRPr="00072B4E">
        <w:t xml:space="preserve"> on </w:t>
      </w:r>
      <w:proofErr w:type="spellStart"/>
      <w:r w:rsidRPr="00072B4E">
        <w:t>the</w:t>
      </w:r>
      <w:proofErr w:type="spellEnd"/>
      <w:r w:rsidRPr="00072B4E">
        <w:t xml:space="preserve"> </w:t>
      </w:r>
      <w:proofErr w:type="spellStart"/>
      <w:r w:rsidRPr="00072B4E">
        <w:t>same</w:t>
      </w:r>
      <w:proofErr w:type="spellEnd"/>
      <w:r w:rsidRPr="00072B4E">
        <w:t xml:space="preserve"> </w:t>
      </w:r>
      <w:proofErr w:type="spellStart"/>
      <w:r w:rsidRPr="00072B4E">
        <w:t>basis</w:t>
      </w:r>
      <w:proofErr w:type="spellEnd"/>
      <w:r w:rsidRPr="00072B4E">
        <w:t xml:space="preserve"> as </w:t>
      </w:r>
      <w:proofErr w:type="spellStart"/>
      <w:r w:rsidRPr="00072B4E">
        <w:t>local</w:t>
      </w:r>
      <w:proofErr w:type="spellEnd"/>
      <w:r w:rsidRPr="00072B4E">
        <w:t xml:space="preserve"> </w:t>
      </w:r>
      <w:proofErr w:type="spellStart"/>
      <w:r w:rsidRPr="00072B4E">
        <w:t>students</w:t>
      </w:r>
      <w:proofErr w:type="spellEnd"/>
      <w:r w:rsidRPr="00072B4E">
        <w:t xml:space="preserve"> </w:t>
      </w:r>
      <w:proofErr w:type="spellStart"/>
      <w:r w:rsidRPr="00072B4E">
        <w:t>for</w:t>
      </w:r>
      <w:proofErr w:type="spellEnd"/>
      <w:r w:rsidRPr="00072B4E">
        <w:t xml:space="preserve"> </w:t>
      </w:r>
      <w:proofErr w:type="spellStart"/>
      <w:r w:rsidRPr="00072B4E">
        <w:t>costs</w:t>
      </w:r>
      <w:proofErr w:type="spellEnd"/>
      <w:r w:rsidRPr="00072B4E">
        <w:t xml:space="preserve"> such as </w:t>
      </w:r>
      <w:proofErr w:type="spellStart"/>
      <w:r w:rsidRPr="00072B4E">
        <w:t>insurance</w:t>
      </w:r>
      <w:proofErr w:type="spellEnd"/>
      <w:r w:rsidRPr="00072B4E">
        <w:t xml:space="preserve">, student </w:t>
      </w:r>
      <w:proofErr w:type="spellStart"/>
      <w:r w:rsidRPr="00072B4E">
        <w:t>unions</w:t>
      </w:r>
      <w:proofErr w:type="spellEnd"/>
      <w:r w:rsidRPr="00072B4E">
        <w:t xml:space="preserve"> and </w:t>
      </w:r>
      <w:proofErr w:type="spellStart"/>
      <w:r w:rsidRPr="00072B4E">
        <w:t>the</w:t>
      </w:r>
      <w:proofErr w:type="spellEnd"/>
      <w:r w:rsidRPr="00072B4E">
        <w:t xml:space="preserve"> use </w:t>
      </w:r>
      <w:proofErr w:type="spellStart"/>
      <w:r w:rsidRPr="00072B4E">
        <w:t>of</w:t>
      </w:r>
      <w:proofErr w:type="spellEnd"/>
      <w:r w:rsidRPr="00072B4E">
        <w:t xml:space="preserve"> </w:t>
      </w:r>
      <w:proofErr w:type="spellStart"/>
      <w:r w:rsidRPr="00072B4E">
        <w:t>miscellaneous</w:t>
      </w:r>
      <w:proofErr w:type="spellEnd"/>
      <w:r w:rsidRPr="00072B4E">
        <w:t xml:space="preserve"> </w:t>
      </w:r>
      <w:proofErr w:type="spellStart"/>
      <w:r w:rsidRPr="00072B4E">
        <w:t>material</w:t>
      </w:r>
      <w:proofErr w:type="spellEnd"/>
      <w:r w:rsidRPr="00072B4E">
        <w:t>.</w:t>
      </w:r>
    </w:p>
    <w:p w:rsidR="006B178E" w:rsidRDefault="006B178E" w:rsidP="006B178E">
      <w:pPr>
        <w:pStyle w:val="Odstavecseseznamem"/>
        <w:widowControl w:val="0"/>
        <w:numPr>
          <w:ilvl w:val="0"/>
          <w:numId w:val="3"/>
        </w:numPr>
        <w:tabs>
          <w:tab w:val="num" w:pos="766"/>
        </w:tabs>
        <w:suppressAutoHyphens/>
        <w:spacing w:after="240" w:line="240" w:lineRule="auto"/>
        <w:contextualSpacing w:val="0"/>
      </w:pPr>
      <w:proofErr w:type="spellStart"/>
      <w:r>
        <w:t>agree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and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mobilities</w:t>
      </w:r>
      <w:proofErr w:type="spellEnd"/>
      <w:r>
        <w:t>,</w:t>
      </w:r>
    </w:p>
    <w:p w:rsidR="006B178E" w:rsidRDefault="006B178E" w:rsidP="006B178E">
      <w:pPr>
        <w:pStyle w:val="Odstavecseseznamem"/>
        <w:widowControl w:val="0"/>
        <w:numPr>
          <w:ilvl w:val="0"/>
          <w:numId w:val="3"/>
        </w:numPr>
        <w:tabs>
          <w:tab w:val="num" w:pos="766"/>
        </w:tabs>
        <w:suppressAutoHyphens/>
        <w:spacing w:after="240" w:line="240" w:lineRule="auto"/>
        <w:contextualSpacing w:val="0"/>
      </w:pPr>
      <w:r>
        <w:t xml:space="preserve">sign </w:t>
      </w:r>
      <w:proofErr w:type="spellStart"/>
      <w:r>
        <w:t>the</w:t>
      </w:r>
      <w:proofErr w:type="spellEnd"/>
      <w:r>
        <w:t xml:space="preserve"> inter-</w:t>
      </w:r>
      <w:proofErr w:type="spellStart"/>
      <w:r>
        <w:t>institutionsl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>.</w:t>
      </w:r>
    </w:p>
    <w:p w:rsidR="006B178E" w:rsidRDefault="006B178E" w:rsidP="006B178E">
      <w:pPr>
        <w:widowControl w:val="0"/>
        <w:tabs>
          <w:tab w:val="num" w:pos="766"/>
        </w:tabs>
        <w:suppressAutoHyphens/>
        <w:spacing w:after="240" w:line="240" w:lineRule="auto"/>
      </w:pPr>
    </w:p>
    <w:p w:rsidR="006B178E" w:rsidRDefault="006B178E" w:rsidP="006B178E">
      <w:pPr>
        <w:widowControl w:val="0"/>
        <w:tabs>
          <w:tab w:val="num" w:pos="766"/>
        </w:tabs>
        <w:suppressAutoHyphens/>
        <w:spacing w:after="240" w:line="240" w:lineRule="auto"/>
      </w:pPr>
      <w:proofErr w:type="spellStart"/>
      <w:r>
        <w:t>Name</w:t>
      </w:r>
      <w:proofErr w:type="spellEnd"/>
      <w:r>
        <w:t>:</w:t>
      </w:r>
    </w:p>
    <w:p w:rsidR="006B178E" w:rsidRDefault="006B178E" w:rsidP="006B178E">
      <w:pPr>
        <w:widowControl w:val="0"/>
        <w:tabs>
          <w:tab w:val="num" w:pos="766"/>
        </w:tabs>
        <w:suppressAutoHyphens/>
        <w:spacing w:after="240" w:line="240" w:lineRule="auto"/>
      </w:pPr>
      <w:proofErr w:type="spellStart"/>
      <w:r>
        <w:t>Position</w:t>
      </w:r>
      <w:proofErr w:type="spellEnd"/>
      <w:r>
        <w:t>:</w:t>
      </w:r>
    </w:p>
    <w:p w:rsidR="006B178E" w:rsidRPr="00072B4E" w:rsidRDefault="006B178E" w:rsidP="006B178E">
      <w:pPr>
        <w:widowControl w:val="0"/>
        <w:tabs>
          <w:tab w:val="num" w:pos="766"/>
        </w:tabs>
        <w:suppressAutoHyphens/>
        <w:spacing w:after="240" w:line="240" w:lineRule="auto"/>
      </w:pPr>
      <w:r>
        <w:t xml:space="preserve">Done </w:t>
      </w:r>
      <w:proofErr w:type="spellStart"/>
      <w:r>
        <w:t>at</w:t>
      </w:r>
      <w:proofErr w:type="spellEnd"/>
      <w:r>
        <w:t>:</w:t>
      </w:r>
    </w:p>
    <w:p w:rsidR="006B178E" w:rsidRPr="006B178E" w:rsidRDefault="006B178E"/>
    <w:sectPr w:rsidR="006B178E" w:rsidRPr="006B178E" w:rsidSect="00B801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F4" w:rsidRDefault="002565F4" w:rsidP="00523E97">
      <w:pPr>
        <w:spacing w:after="0" w:line="240" w:lineRule="auto"/>
      </w:pPr>
      <w:r>
        <w:separator/>
      </w:r>
    </w:p>
  </w:endnote>
  <w:endnote w:type="continuationSeparator" w:id="0">
    <w:p w:rsidR="002565F4" w:rsidRDefault="002565F4" w:rsidP="005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F4" w:rsidRDefault="002565F4" w:rsidP="00523E97">
      <w:pPr>
        <w:spacing w:after="0" w:line="240" w:lineRule="auto"/>
      </w:pPr>
      <w:r>
        <w:separator/>
      </w:r>
    </w:p>
  </w:footnote>
  <w:footnote w:type="continuationSeparator" w:id="0">
    <w:p w:rsidR="002565F4" w:rsidRDefault="002565F4" w:rsidP="00523E97">
      <w:pPr>
        <w:spacing w:after="0" w:line="240" w:lineRule="auto"/>
      </w:pPr>
      <w:r>
        <w:continuationSeparator/>
      </w:r>
    </w:p>
  </w:footnote>
  <w:footnote w:id="1">
    <w:p w:rsidR="00B801C9" w:rsidRDefault="00B801C9">
      <w:pPr>
        <w:pStyle w:val="Textpoznpodarou"/>
      </w:pPr>
      <w:r>
        <w:rPr>
          <w:rStyle w:val="Znakapoznpodarou"/>
        </w:rPr>
        <w:footnoteRef/>
      </w:r>
      <w:r>
        <w:t xml:space="preserve"> SMS – studijní pobyty studentů, STA – výukové pobyty akademických pracovníků, STT – školení zaměstnanců</w:t>
      </w:r>
    </w:p>
  </w:footnote>
  <w:footnote w:id="2">
    <w:p w:rsidR="00B801C9" w:rsidRDefault="00B801C9">
      <w:pPr>
        <w:pStyle w:val="Textpoznpodarou"/>
      </w:pPr>
      <w:r>
        <w:rPr>
          <w:rStyle w:val="Znakapoznpodarou"/>
        </w:rPr>
        <w:footnoteRef/>
      </w:r>
      <w:r>
        <w:t xml:space="preserve"> Bc. = 1, Mgr. = 2, Ph.D. = 3</w:t>
      </w:r>
      <w:r w:rsidR="00FF02F8">
        <w:t>, pro každý cyklus použijte jeden řádek (řádky podle potřeby přidejte)</w:t>
      </w:r>
    </w:p>
  </w:footnote>
  <w:footnote w:id="3">
    <w:p w:rsidR="006D3946" w:rsidRDefault="006D3946">
      <w:pPr>
        <w:pStyle w:val="Textpoznpodarou"/>
      </w:pPr>
      <w:r>
        <w:rPr>
          <w:rStyle w:val="Znakapoznpodarou"/>
        </w:rPr>
        <w:footnoteRef/>
      </w:r>
      <w:r>
        <w:t xml:space="preserve"> minimálně 3 měsíce, maximálně 12 měsíců </w:t>
      </w:r>
      <w:r w:rsidRPr="006D3946">
        <w:rPr>
          <w:u w:val="single"/>
        </w:rPr>
        <w:t>na jednu mobilitu</w:t>
      </w:r>
    </w:p>
  </w:footnote>
  <w:footnote w:id="4">
    <w:p w:rsidR="00612D42" w:rsidRDefault="00612D42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r w:rsidRPr="004E269C">
        <w:rPr>
          <w:b/>
        </w:rPr>
        <w:t xml:space="preserve">Erasmus </w:t>
      </w:r>
      <w:proofErr w:type="spellStart"/>
      <w:r w:rsidRPr="004E269C">
        <w:rPr>
          <w:b/>
        </w:rPr>
        <w:t>Policy</w:t>
      </w:r>
      <w:proofErr w:type="spellEnd"/>
      <w:r w:rsidRPr="004E269C">
        <w:rPr>
          <w:b/>
        </w:rPr>
        <w:t xml:space="preserve"> </w:t>
      </w:r>
      <w:proofErr w:type="spellStart"/>
      <w:r w:rsidRPr="004E269C">
        <w:rPr>
          <w:b/>
        </w:rPr>
        <w:t>Statement</w:t>
      </w:r>
      <w:proofErr w:type="spellEnd"/>
      <w:r w:rsidR="004E269C">
        <w:t xml:space="preserve"> dostupný na </w:t>
      </w:r>
      <w:r w:rsidR="004E269C" w:rsidRPr="004E269C">
        <w:t>http://www.upol.cz/fileadmin/user_upload/ILO/dokumenty/YV/Erasmus_Policy_Statement.pdf</w:t>
      </w:r>
      <w:r>
        <w:t xml:space="preserve">, případně </w:t>
      </w:r>
      <w:r w:rsidRPr="004E269C">
        <w:rPr>
          <w:b/>
        </w:rPr>
        <w:t>Dlouhodo</w:t>
      </w:r>
      <w:r w:rsidR="004E269C" w:rsidRPr="004E269C">
        <w:rPr>
          <w:b/>
        </w:rPr>
        <w:t>bý záměr</w:t>
      </w:r>
      <w:r w:rsidR="004E269C">
        <w:t xml:space="preserve"> UP a jeho aktualizace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C7B"/>
    <w:multiLevelType w:val="multilevel"/>
    <w:tmpl w:val="16C6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5365C"/>
    <w:multiLevelType w:val="hybridMultilevel"/>
    <w:tmpl w:val="2A58F706"/>
    <w:lvl w:ilvl="0" w:tplc="858A6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3D34"/>
    <w:multiLevelType w:val="hybridMultilevel"/>
    <w:tmpl w:val="77CC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47"/>
    <w:rsid w:val="00095D52"/>
    <w:rsid w:val="000D3FC5"/>
    <w:rsid w:val="001F08D5"/>
    <w:rsid w:val="002565F4"/>
    <w:rsid w:val="00295756"/>
    <w:rsid w:val="002A4112"/>
    <w:rsid w:val="003B34AE"/>
    <w:rsid w:val="004B48F0"/>
    <w:rsid w:val="004E269C"/>
    <w:rsid w:val="004F0047"/>
    <w:rsid w:val="004F224F"/>
    <w:rsid w:val="00523E97"/>
    <w:rsid w:val="005306AE"/>
    <w:rsid w:val="005D4200"/>
    <w:rsid w:val="00612D42"/>
    <w:rsid w:val="00672965"/>
    <w:rsid w:val="006B178E"/>
    <w:rsid w:val="006C4E9C"/>
    <w:rsid w:val="006D3946"/>
    <w:rsid w:val="007F36DA"/>
    <w:rsid w:val="00862E27"/>
    <w:rsid w:val="009124B0"/>
    <w:rsid w:val="009248EC"/>
    <w:rsid w:val="009D00CD"/>
    <w:rsid w:val="00A4775D"/>
    <w:rsid w:val="00A50E85"/>
    <w:rsid w:val="00B0114D"/>
    <w:rsid w:val="00B06936"/>
    <w:rsid w:val="00B801C9"/>
    <w:rsid w:val="00D13AEB"/>
    <w:rsid w:val="00D71528"/>
    <w:rsid w:val="00D75710"/>
    <w:rsid w:val="00EB3799"/>
    <w:rsid w:val="00FB449B"/>
    <w:rsid w:val="00FE2568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047"/>
    <w:rPr>
      <w:color w:val="0000FF" w:themeColor="hyperlink"/>
      <w:u w:val="single"/>
    </w:rPr>
  </w:style>
  <w:style w:type="paragraph" w:customStyle="1" w:styleId="Default">
    <w:name w:val="Default"/>
    <w:rsid w:val="004F0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2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3E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3E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23E9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E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E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E97"/>
    <w:rPr>
      <w:vertAlign w:val="superscript"/>
    </w:rPr>
  </w:style>
  <w:style w:type="paragraph" w:styleId="Bezmezer">
    <w:name w:val="No Spacing"/>
    <w:uiPriority w:val="1"/>
    <w:qFormat/>
    <w:rsid w:val="00862E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047"/>
    <w:rPr>
      <w:color w:val="0000FF" w:themeColor="hyperlink"/>
      <w:u w:val="single"/>
    </w:rPr>
  </w:style>
  <w:style w:type="paragraph" w:customStyle="1" w:styleId="Default">
    <w:name w:val="Default"/>
    <w:rsid w:val="004F0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2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3E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3E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23E9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E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E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E97"/>
    <w:rPr>
      <w:vertAlign w:val="superscript"/>
    </w:rPr>
  </w:style>
  <w:style w:type="paragraph" w:styleId="Bezmezer">
    <w:name w:val="No Spacing"/>
    <w:uiPriority w:val="1"/>
    <w:qFormat/>
    <w:rsid w:val="00862E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0B97-7D06-45ED-8C69-1F3164F7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Vyhnankova Yvona</dc:creator>
  <cp:lastModifiedBy>Vyhnankova Yvona</cp:lastModifiedBy>
  <cp:revision>10</cp:revision>
  <dcterms:created xsi:type="dcterms:W3CDTF">2016-07-19T08:19:00Z</dcterms:created>
  <dcterms:modified xsi:type="dcterms:W3CDTF">2016-12-08T13:49:00Z</dcterms:modified>
</cp:coreProperties>
</file>